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31E131ED">
      <w:pPr>
        <w:jc w:val="center"/>
        <w:rPr>
          <w:b w:val="1"/>
          <w:bCs w:val="1"/>
          <w:sz w:val="28"/>
          <w:szCs w:val="28"/>
        </w:rPr>
      </w:pPr>
      <w:r w:rsidRPr="3BEA573F" w:rsidR="0029686B">
        <w:rPr>
          <w:b w:val="1"/>
          <w:bCs w:val="1"/>
          <w:sz w:val="28"/>
          <w:szCs w:val="28"/>
        </w:rPr>
        <w:t>PGCE Primary Report 20</w:t>
      </w:r>
      <w:r w:rsidRPr="3BEA573F" w:rsidR="0013718E">
        <w:rPr>
          <w:b w:val="1"/>
          <w:bCs w:val="1"/>
          <w:sz w:val="28"/>
          <w:szCs w:val="28"/>
        </w:rPr>
        <w:t>2</w:t>
      </w:r>
      <w:r w:rsidRPr="3BEA573F" w:rsidR="7AFD6C21">
        <w:rPr>
          <w:b w:val="1"/>
          <w:bCs w:val="1"/>
          <w:sz w:val="28"/>
          <w:szCs w:val="28"/>
        </w:rPr>
        <w:t>4</w:t>
      </w:r>
      <w:r w:rsidRPr="3BEA573F" w:rsidR="0013718E">
        <w:rPr>
          <w:b w:val="1"/>
          <w:bCs w:val="1"/>
          <w:sz w:val="28"/>
          <w:szCs w:val="28"/>
        </w:rPr>
        <w:t>-2</w:t>
      </w:r>
      <w:r w:rsidRPr="3BEA573F" w:rsidR="63AE9C6C">
        <w:rPr>
          <w:b w:val="1"/>
          <w:bCs w:val="1"/>
          <w:sz w:val="28"/>
          <w:szCs w:val="28"/>
        </w:rPr>
        <w:t>5</w:t>
      </w:r>
      <w:r w:rsidRPr="3BEA573F" w:rsidR="00916821">
        <w:rPr>
          <w:b w:val="1"/>
          <w:bCs w:val="1"/>
          <w:sz w:val="28"/>
          <w:szCs w:val="28"/>
        </w:rPr>
        <w:t xml:space="preserve"> - </w:t>
      </w:r>
      <w:r w:rsidRPr="3BEA573F" w:rsidR="410F3119">
        <w:rPr>
          <w:b w:val="1"/>
          <w:bCs w:val="1"/>
          <w:sz w:val="28"/>
          <w:szCs w:val="28"/>
        </w:rPr>
        <w:t>Science</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2F12FBB6"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2F12FBB6"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2F12FBB6"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2F12FBB6" w14:paraId="76D5E7D5" w14:textId="77777777">
        <w:trPr>
          <w:trHeight w:val="300"/>
        </w:trPr>
        <w:tc>
          <w:tcPr>
            <w:tcW w:w="9016" w:type="dxa"/>
            <w:gridSpan w:val="2"/>
            <w:tcMar/>
          </w:tcPr>
          <w:p w:rsidR="00F35896" w:rsidP="3B2F294E" w:rsidRDefault="63303BEA" w14:paraId="56BE837A" w14:textId="0D572967">
            <w:pPr>
              <w:rPr>
                <w:i/>
                <w:iCs/>
              </w:rPr>
            </w:pPr>
            <w:r w:rsidRPr="2F12FBB6" w:rsidR="63303BEA">
              <w:rPr>
                <w:i w:val="1"/>
                <w:iCs w:val="1"/>
              </w:rPr>
              <w:t xml:space="preserve">Each subject has slightly different tasks in this section which will count as the equivalent of 500 </w:t>
            </w:r>
            <w:r w:rsidRPr="2F12FBB6" w:rsidR="1AC43322">
              <w:rPr>
                <w:i w:val="1"/>
                <w:iCs w:val="1"/>
              </w:rPr>
              <w:t>words.</w:t>
            </w:r>
          </w:p>
          <w:p w:rsidR="2F12FBB6" w:rsidP="2F12FBB6" w:rsidRDefault="2F12FBB6" w14:paraId="33F700B5" w14:textId="1D21DEFA">
            <w:pPr>
              <w:rPr>
                <w:i w:val="1"/>
                <w:iCs w:val="1"/>
              </w:rPr>
            </w:pPr>
          </w:p>
          <w:p w:rsidR="00F35896" w:rsidP="3BEA573F" w:rsidRDefault="00F35896" w14:paraId="765D58F5" w14:textId="0B5CDEB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EA573F" w:rsidR="1CF8C4CC">
              <w:rPr>
                <w:rFonts w:ascii="Calibri" w:hAnsi="Calibri" w:eastAsia="Calibri" w:cs="Calibri"/>
                <w:b w:val="1"/>
                <w:bCs w:val="1"/>
                <w:i w:val="0"/>
                <w:iCs w:val="0"/>
                <w:caps w:val="0"/>
                <w:smallCaps w:val="0"/>
                <w:noProof w:val="0"/>
                <w:color w:val="000000" w:themeColor="text1" w:themeTint="FF" w:themeShade="FF"/>
                <w:sz w:val="22"/>
                <w:szCs w:val="22"/>
                <w:lang w:val="en-GB"/>
              </w:rPr>
              <w:t>Your Subject Area – Science</w:t>
            </w:r>
          </w:p>
          <w:p w:rsidR="00F35896" w:rsidP="3BEA573F" w:rsidRDefault="00F35896" w14:paraId="06280E95" w14:textId="777340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EA573F"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Read the following documents:  </w:t>
            </w:r>
          </w:p>
          <w:p w:rsidR="00F35896" w:rsidP="3BEA573F" w:rsidRDefault="00F35896" w14:paraId="11CD2035" w14:textId="41B940B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F35896" w:rsidP="3BEA573F" w:rsidRDefault="00F35896" w14:paraId="4AF2C779" w14:textId="4D4D8DF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EA573F"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a) Sections 3 (Views of science, P25-34) and 4 (The delivery of science, P.35-49) in the report: </w:t>
            </w:r>
            <w:r w:rsidRPr="3BEA573F"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Wellcome</w:t>
            </w:r>
            <w:r w:rsidRPr="3BEA573F"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Trust (2017) ‘State of the nation’ report of UK primary science education </w:t>
            </w:r>
            <w:hyperlink r:id="R159ff66a01d044da">
              <w:r w:rsidRPr="3BEA573F" w:rsidR="1CF8C4CC">
                <w:rPr>
                  <w:rStyle w:val="Hyperlink"/>
                  <w:rFonts w:ascii="Calibri" w:hAnsi="Calibri" w:eastAsia="Calibri" w:cs="Calibri"/>
                  <w:b w:val="0"/>
                  <w:bCs w:val="0"/>
                  <w:i w:val="0"/>
                  <w:iCs w:val="0"/>
                  <w:caps w:val="0"/>
                  <w:smallCaps w:val="0"/>
                  <w:strike w:val="0"/>
                  <w:dstrike w:val="0"/>
                  <w:noProof w:val="0"/>
                  <w:sz w:val="22"/>
                  <w:szCs w:val="22"/>
                  <w:lang w:val="en-GB"/>
                </w:rPr>
                <w:t>https://wellcome.ac.uk/sites/default/files/state-of-the-nation-report-of-uk-science-education.pdf </w:t>
              </w:r>
            </w:hyperlink>
          </w:p>
          <w:p w:rsidR="00F35896" w:rsidP="3BEA573F" w:rsidRDefault="00F35896" w14:paraId="6C1951AB" w14:textId="6726BD0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F35896" w:rsidP="3BEA573F" w:rsidRDefault="00F35896" w14:paraId="56582F88" w14:textId="33A9EAF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EA573F"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b) Braund, M. (2009). Progression and continuity in learning science at transfer from primary and secondary school. Perspectives on Education (Primary Secondary Transfer in Science), 2, 22-38. </w:t>
            </w:r>
            <w:hyperlink r:id="R20371c02074e4e1d">
              <w:r w:rsidRPr="3BEA573F" w:rsidR="1CF8C4CC">
                <w:rPr>
                  <w:rStyle w:val="Hyperlink"/>
                  <w:rFonts w:ascii="Calibri" w:hAnsi="Calibri" w:eastAsia="Calibri" w:cs="Calibri"/>
                  <w:b w:val="0"/>
                  <w:bCs w:val="0"/>
                  <w:i w:val="0"/>
                  <w:iCs w:val="0"/>
                  <w:caps w:val="0"/>
                  <w:smallCaps w:val="0"/>
                  <w:strike w:val="0"/>
                  <w:dstrike w:val="0"/>
                  <w:noProof w:val="0"/>
                  <w:sz w:val="22"/>
                  <w:szCs w:val="22"/>
                  <w:lang w:val="en-GB"/>
                </w:rPr>
                <w:t>https://issuu.com/wellcome-trust/docs/perspectives2/2</w:t>
              </w:r>
            </w:hyperlink>
            <w:r w:rsidRPr="3BEA573F" w:rsidR="1CF8C4CC">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0F35896" w:rsidP="3BEA573F" w:rsidRDefault="00F35896" w14:paraId="7D7754A1" w14:textId="6D782EB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EA573F" w:rsidR="1CF8C4CC">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0F35896" w:rsidP="2F12FBB6" w:rsidRDefault="00F35896" w14:paraId="5099D405" w14:textId="3584B80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12FBB6" w:rsidR="1CF8C4C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Use these readings to reflect on the experiences of science that Year 7 pupils will have had at primary school (given their primary school teachers’ views, the views of their peers, and the way that science is delivered) and consider the implications for teaching science to year 7 pupils. </w:t>
            </w:r>
          </w:p>
          <w:p w:rsidR="00F35896" w:rsidP="2F12FBB6" w:rsidRDefault="00F35896" w14:paraId="53FDE429" w14:textId="6448DAAD">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F12FBB6" w:rsidR="1CF8C4CC">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Write an account that summarises your thinking (around 500 words).</w:t>
            </w:r>
          </w:p>
          <w:p w:rsidR="00F35896" w:rsidP="3BEA573F" w:rsidRDefault="00F35896" w14:paraId="043EC345" w14:textId="329F1EDB">
            <w:pPr>
              <w:pStyle w:val="Normal"/>
              <w:rPr>
                <w:i w:val="1"/>
                <w:iCs w:val="1"/>
              </w:rPr>
            </w:pPr>
          </w:p>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E3BC10"/>
    <w:rsid w:val="162346C7"/>
    <w:rsid w:val="16646FA7"/>
    <w:rsid w:val="178D68A5"/>
    <w:rsid w:val="17B69590"/>
    <w:rsid w:val="17FE19BB"/>
    <w:rsid w:val="18469633"/>
    <w:rsid w:val="1863EF0F"/>
    <w:rsid w:val="1910A31C"/>
    <w:rsid w:val="197C3578"/>
    <w:rsid w:val="19DDEB80"/>
    <w:rsid w:val="19E0B130"/>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CF8C4CC"/>
    <w:rsid w:val="1D215A7E"/>
    <w:rsid w:val="1D6275B4"/>
    <w:rsid w:val="1D6F07F9"/>
    <w:rsid w:val="1DB7C1AA"/>
    <w:rsid w:val="1E1F9336"/>
    <w:rsid w:val="1E2DB2A1"/>
    <w:rsid w:val="1EC46D73"/>
    <w:rsid w:val="1ED33093"/>
    <w:rsid w:val="1F7F4862"/>
    <w:rsid w:val="1FB7810C"/>
    <w:rsid w:val="203AFADD"/>
    <w:rsid w:val="20B6E9A7"/>
    <w:rsid w:val="20DCBCB6"/>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12FBB6"/>
    <w:rsid w:val="2F6EC4D2"/>
    <w:rsid w:val="2FDE6AAD"/>
    <w:rsid w:val="2FF90880"/>
    <w:rsid w:val="30609E78"/>
    <w:rsid w:val="308524BE"/>
    <w:rsid w:val="31521031"/>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2F294E"/>
    <w:rsid w:val="3B5BB936"/>
    <w:rsid w:val="3B5F4C38"/>
    <w:rsid w:val="3B7100AD"/>
    <w:rsid w:val="3B8E8D1A"/>
    <w:rsid w:val="3BC32320"/>
    <w:rsid w:val="3BCC2287"/>
    <w:rsid w:val="3BEA573F"/>
    <w:rsid w:val="3BEAF4BD"/>
    <w:rsid w:val="3C623CFF"/>
    <w:rsid w:val="3CE43A7F"/>
    <w:rsid w:val="3D0D708B"/>
    <w:rsid w:val="3D7455BD"/>
    <w:rsid w:val="3DD97C3F"/>
    <w:rsid w:val="3E1CF348"/>
    <w:rsid w:val="3E47F253"/>
    <w:rsid w:val="3F3303A0"/>
    <w:rsid w:val="3F84BA66"/>
    <w:rsid w:val="405C58FB"/>
    <w:rsid w:val="407DE8E8"/>
    <w:rsid w:val="410F3119"/>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97C297D"/>
    <w:rsid w:val="5ACF57A8"/>
    <w:rsid w:val="5B284E2F"/>
    <w:rsid w:val="5B43F9D5"/>
    <w:rsid w:val="5BD05E52"/>
    <w:rsid w:val="5BEDE6C7"/>
    <w:rsid w:val="5C3C1A81"/>
    <w:rsid w:val="5C731055"/>
    <w:rsid w:val="5D08DC49"/>
    <w:rsid w:val="5DA95425"/>
    <w:rsid w:val="5E47106B"/>
    <w:rsid w:val="5E6EFF83"/>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3F43A1"/>
    <w:rsid w:val="79428AC6"/>
    <w:rsid w:val="7977F924"/>
    <w:rsid w:val="79F26349"/>
    <w:rsid w:val="7A24AB9F"/>
    <w:rsid w:val="7A33724B"/>
    <w:rsid w:val="7A8CC020"/>
    <w:rsid w:val="7AA1DC09"/>
    <w:rsid w:val="7AB6F9F4"/>
    <w:rsid w:val="7AFD6C21"/>
    <w:rsid w:val="7B29EB2C"/>
    <w:rsid w:val="7B35362B"/>
    <w:rsid w:val="7B9CD7EC"/>
    <w:rsid w:val="7C4EFD12"/>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wellcome.ac.uk/sites/default/files/state-of-the-nation-report-of-uk-science-education.pdf%E2%80%AF" TargetMode="External" Id="R159ff66a01d044da" /><Relationship Type="http://schemas.openxmlformats.org/officeDocument/2006/relationships/hyperlink" Target="https://issuu.com/wellcome-trust/docs/perspectives2/2" TargetMode="External" Id="R20371c02074e4e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Bailey</dc:creator>
  <keywords/>
  <dc:description/>
  <lastModifiedBy>Ruth Bailey</lastModifiedBy>
  <revision>152</revision>
  <dcterms:created xsi:type="dcterms:W3CDTF">2023-07-01T01:41:00.0000000Z</dcterms:created>
  <dcterms:modified xsi:type="dcterms:W3CDTF">2024-07-10T11:42:15.7383369Z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